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33" w:rsidRDefault="00AC3333" w:rsidP="00AC3333">
      <w:pPr>
        <w:jc w:val="center"/>
        <w:rPr>
          <w:b/>
          <w:bCs/>
          <w:sz w:val="32"/>
          <w:szCs w:val="32"/>
        </w:rPr>
      </w:pPr>
      <w:bookmarkStart w:id="0" w:name="_GoBack"/>
      <w:bookmarkEnd w:id="0"/>
      <w:proofErr w:type="spellStart"/>
      <w:r>
        <w:rPr>
          <w:b/>
          <w:bCs/>
          <w:sz w:val="32"/>
          <w:szCs w:val="32"/>
        </w:rPr>
        <w:t>Graphofeel</w:t>
      </w:r>
      <w:proofErr w:type="spellEnd"/>
      <w:r>
        <w:rPr>
          <w:b/>
          <w:bCs/>
          <w:sz w:val="32"/>
          <w:szCs w:val="32"/>
        </w:rPr>
        <w:t xml:space="preserve"> Edizioni</w:t>
      </w:r>
    </w:p>
    <w:p w:rsidR="00AC3333" w:rsidRPr="00AC3333" w:rsidRDefault="00AC3333" w:rsidP="00AC3333">
      <w:pPr>
        <w:jc w:val="center"/>
        <w:rPr>
          <w:b/>
          <w:bCs/>
          <w:sz w:val="44"/>
          <w:szCs w:val="44"/>
        </w:rPr>
      </w:pPr>
    </w:p>
    <w:p w:rsidR="00AC3333" w:rsidRPr="00AC3333" w:rsidRDefault="00AC3333" w:rsidP="00AC3333">
      <w:pPr>
        <w:jc w:val="center"/>
        <w:rPr>
          <w:b/>
          <w:bCs/>
          <w:sz w:val="44"/>
          <w:szCs w:val="44"/>
        </w:rPr>
      </w:pPr>
      <w:r w:rsidRPr="00AC3333">
        <w:rPr>
          <w:b/>
          <w:bCs/>
          <w:sz w:val="44"/>
          <w:szCs w:val="44"/>
        </w:rPr>
        <w:t>AD HAMMAMET</w:t>
      </w:r>
    </w:p>
    <w:p w:rsidR="00AC3333" w:rsidRPr="00AC3333" w:rsidRDefault="00AC3333" w:rsidP="00AC3333">
      <w:pPr>
        <w:jc w:val="center"/>
        <w:rPr>
          <w:b/>
          <w:bCs/>
          <w:sz w:val="32"/>
          <w:szCs w:val="32"/>
        </w:rPr>
      </w:pPr>
      <w:r w:rsidRPr="00AC3333">
        <w:rPr>
          <w:b/>
          <w:bCs/>
          <w:sz w:val="32"/>
          <w:szCs w:val="32"/>
        </w:rPr>
        <w:t>Ascesa e caduta di Bettino Craxi</w:t>
      </w:r>
    </w:p>
    <w:p w:rsidR="007B6E9A" w:rsidRDefault="00AC3333" w:rsidP="00AC3333">
      <w:pPr>
        <w:jc w:val="center"/>
        <w:rPr>
          <w:sz w:val="32"/>
          <w:szCs w:val="32"/>
        </w:rPr>
      </w:pPr>
      <w:r w:rsidRPr="00AC3333">
        <w:rPr>
          <w:sz w:val="32"/>
          <w:szCs w:val="32"/>
        </w:rPr>
        <w:t xml:space="preserve">di </w:t>
      </w:r>
    </w:p>
    <w:p w:rsidR="00AC3333" w:rsidRDefault="00AC3333" w:rsidP="00AC3333">
      <w:pPr>
        <w:jc w:val="center"/>
        <w:rPr>
          <w:sz w:val="32"/>
          <w:szCs w:val="32"/>
        </w:rPr>
      </w:pPr>
      <w:r w:rsidRPr="00AC3333">
        <w:rPr>
          <w:sz w:val="32"/>
          <w:szCs w:val="32"/>
        </w:rPr>
        <w:t xml:space="preserve">Mario Pacelli </w:t>
      </w:r>
    </w:p>
    <w:p w:rsidR="00DC216C" w:rsidRDefault="00DC216C" w:rsidP="00AC3333">
      <w:pPr>
        <w:jc w:val="center"/>
        <w:rPr>
          <w:sz w:val="32"/>
          <w:szCs w:val="32"/>
        </w:rPr>
      </w:pPr>
    </w:p>
    <w:p w:rsidR="00DC216C" w:rsidRPr="00FB6C43" w:rsidRDefault="00DC216C" w:rsidP="00DC216C">
      <w:pPr>
        <w:jc w:val="center"/>
        <w:rPr>
          <w:rFonts w:ascii="Georgia" w:hAnsi="Georgia"/>
          <w:sz w:val="20"/>
          <w:szCs w:val="20"/>
        </w:rPr>
      </w:pPr>
      <w:r w:rsidRPr="00FB6C43">
        <w:rPr>
          <w:rFonts w:ascii="Georgia" w:hAnsi="Georgia"/>
          <w:sz w:val="20"/>
          <w:szCs w:val="20"/>
        </w:rPr>
        <w:t>Pagine: 2</w:t>
      </w:r>
      <w:r w:rsidR="00804EED">
        <w:rPr>
          <w:rFonts w:ascii="Georgia" w:hAnsi="Georgia"/>
          <w:sz w:val="20"/>
          <w:szCs w:val="20"/>
        </w:rPr>
        <w:t>3</w:t>
      </w:r>
      <w:r w:rsidRPr="00FB6C43">
        <w:rPr>
          <w:rFonts w:ascii="Georgia" w:hAnsi="Georgia"/>
          <w:sz w:val="20"/>
          <w:szCs w:val="20"/>
        </w:rPr>
        <w:t>0</w:t>
      </w:r>
    </w:p>
    <w:p w:rsidR="00DC216C" w:rsidRPr="00FB6C43" w:rsidRDefault="00DC216C" w:rsidP="00DC216C">
      <w:pPr>
        <w:jc w:val="center"/>
        <w:rPr>
          <w:rFonts w:ascii="Georgia" w:hAnsi="Georgia"/>
          <w:sz w:val="20"/>
          <w:szCs w:val="20"/>
        </w:rPr>
      </w:pPr>
      <w:r w:rsidRPr="00FB6C43">
        <w:rPr>
          <w:rFonts w:ascii="Georgia" w:hAnsi="Georgia"/>
          <w:sz w:val="20"/>
          <w:szCs w:val="20"/>
        </w:rPr>
        <w:t>Prezzo: 17,00 €</w:t>
      </w:r>
    </w:p>
    <w:p w:rsidR="00DC216C" w:rsidRPr="00FB6C43" w:rsidRDefault="00DC216C" w:rsidP="00DC216C">
      <w:pPr>
        <w:jc w:val="center"/>
        <w:rPr>
          <w:rFonts w:ascii="Georgia" w:hAnsi="Georgia"/>
          <w:sz w:val="20"/>
          <w:szCs w:val="20"/>
        </w:rPr>
      </w:pPr>
      <w:r w:rsidRPr="00FB6C43">
        <w:rPr>
          <w:rFonts w:ascii="Georgia" w:hAnsi="Georgia"/>
          <w:sz w:val="20"/>
          <w:szCs w:val="20"/>
        </w:rPr>
        <w:t>Data di pubblicazione: 16 gennaio 2020</w:t>
      </w:r>
    </w:p>
    <w:p w:rsidR="00AC3333" w:rsidRDefault="00AC3333" w:rsidP="00DC216C">
      <w:pPr>
        <w:jc w:val="right"/>
        <w:rPr>
          <w:sz w:val="32"/>
          <w:szCs w:val="32"/>
        </w:rPr>
      </w:pPr>
    </w:p>
    <w:p w:rsidR="00AC3333" w:rsidRPr="00AC3333" w:rsidRDefault="00AC3333" w:rsidP="00AC3333">
      <w:pPr>
        <w:jc w:val="center"/>
        <w:rPr>
          <w:rFonts w:ascii="Georgia" w:hAnsi="Georgia"/>
          <w:b/>
          <w:bCs/>
          <w:color w:val="FF0000"/>
          <w:sz w:val="28"/>
          <w:szCs w:val="28"/>
        </w:rPr>
      </w:pPr>
    </w:p>
    <w:p w:rsidR="00AC3333" w:rsidRPr="00AC3333" w:rsidRDefault="00D51E11" w:rsidP="00AC3333">
      <w:pPr>
        <w:jc w:val="center"/>
        <w:rPr>
          <w:rFonts w:ascii="Georgia" w:hAnsi="Georgia"/>
          <w:b/>
          <w:bCs/>
          <w:color w:val="FF0000"/>
          <w:sz w:val="28"/>
          <w:szCs w:val="28"/>
        </w:rPr>
      </w:pPr>
      <w:r>
        <w:rPr>
          <w:noProof/>
        </w:rPr>
        <w:drawing>
          <wp:anchor distT="0" distB="0" distL="114300" distR="114300" simplePos="0" relativeHeight="251659264" behindDoc="0" locked="0" layoutInCell="1" allowOverlap="1">
            <wp:simplePos x="0" y="0"/>
            <wp:positionH relativeFrom="margin">
              <wp:posOffset>-476250</wp:posOffset>
            </wp:positionH>
            <wp:positionV relativeFrom="margin">
              <wp:posOffset>2965450</wp:posOffset>
            </wp:positionV>
            <wp:extent cx="2470150" cy="345376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0" cy="3453765"/>
                    </a:xfrm>
                    <a:prstGeom prst="rect">
                      <a:avLst/>
                    </a:prstGeom>
                    <a:noFill/>
                    <a:ln>
                      <a:noFill/>
                    </a:ln>
                  </pic:spPr>
                </pic:pic>
              </a:graphicData>
            </a:graphic>
          </wp:anchor>
        </w:drawing>
      </w:r>
      <w:r w:rsidR="00AC3333" w:rsidRPr="00AC3333">
        <w:rPr>
          <w:rFonts w:ascii="Georgia" w:hAnsi="Georgia"/>
          <w:b/>
          <w:bCs/>
          <w:color w:val="FF0000"/>
          <w:sz w:val="28"/>
          <w:szCs w:val="28"/>
        </w:rPr>
        <w:t>A vent’anni dalla sua morte una storia del leader socialista</w:t>
      </w:r>
    </w:p>
    <w:p w:rsidR="00AC3333" w:rsidRPr="00AC3333" w:rsidRDefault="00AC3333" w:rsidP="00AC3333">
      <w:pPr>
        <w:jc w:val="center"/>
        <w:rPr>
          <w:rFonts w:ascii="Georgia" w:hAnsi="Georgia"/>
          <w:b/>
          <w:bCs/>
          <w:color w:val="FF0000"/>
          <w:sz w:val="28"/>
          <w:szCs w:val="28"/>
        </w:rPr>
      </w:pPr>
      <w:r w:rsidRPr="00AC3333">
        <w:rPr>
          <w:rFonts w:ascii="Georgia" w:hAnsi="Georgia"/>
          <w:b/>
          <w:bCs/>
          <w:color w:val="FF0000"/>
          <w:sz w:val="28"/>
          <w:szCs w:val="28"/>
        </w:rPr>
        <w:t>attraverso documenti e testimonianze inedite</w:t>
      </w:r>
    </w:p>
    <w:p w:rsidR="00AC3333" w:rsidRDefault="00AC3333" w:rsidP="00AC3333">
      <w:pPr>
        <w:jc w:val="both"/>
        <w:rPr>
          <w:rFonts w:ascii="Georgia" w:hAnsi="Georgia"/>
        </w:rPr>
      </w:pPr>
    </w:p>
    <w:p w:rsidR="00AC3333" w:rsidRDefault="00AC3333" w:rsidP="00AC3333">
      <w:pPr>
        <w:jc w:val="both"/>
        <w:rPr>
          <w:rFonts w:ascii="Georgia" w:hAnsi="Georgia"/>
        </w:rPr>
      </w:pPr>
    </w:p>
    <w:p w:rsidR="00DC216C" w:rsidRDefault="008C0A8F" w:rsidP="008C0A8F">
      <w:pPr>
        <w:jc w:val="both"/>
        <w:rPr>
          <w:rFonts w:ascii="Georgia" w:hAnsi="Georgia"/>
          <w:sz w:val="22"/>
          <w:szCs w:val="22"/>
        </w:rPr>
      </w:pPr>
      <w:r w:rsidRPr="008C0A8F">
        <w:rPr>
          <w:rFonts w:ascii="Georgia" w:hAnsi="Georgia"/>
          <w:sz w:val="22"/>
          <w:szCs w:val="22"/>
        </w:rPr>
        <w:t xml:space="preserve">Qual è stato il ruolo di Bettino Craxi nella storia della Repubblica italiana? </w:t>
      </w:r>
    </w:p>
    <w:p w:rsidR="00DC216C" w:rsidRDefault="00DC216C" w:rsidP="008C0A8F">
      <w:pPr>
        <w:jc w:val="both"/>
        <w:rPr>
          <w:rFonts w:ascii="Georgia" w:hAnsi="Georgia"/>
          <w:sz w:val="22"/>
          <w:szCs w:val="22"/>
        </w:rPr>
      </w:pPr>
      <w:r>
        <w:rPr>
          <w:rFonts w:ascii="Georgia" w:hAnsi="Georgia"/>
          <w:sz w:val="22"/>
          <w:szCs w:val="22"/>
        </w:rPr>
        <w:t>Qual è il senso storico di vicende apparentemente non collegate tra loro come il proliferare delle tangenti e la caduta del muro di Berlino?</w:t>
      </w:r>
    </w:p>
    <w:p w:rsidR="00DC216C" w:rsidRPr="008C0A8F" w:rsidRDefault="00DC216C" w:rsidP="00DC216C">
      <w:pPr>
        <w:jc w:val="both"/>
        <w:rPr>
          <w:rFonts w:ascii="Georgia" w:hAnsi="Georgia"/>
          <w:sz w:val="22"/>
          <w:szCs w:val="22"/>
        </w:rPr>
      </w:pPr>
      <w:r>
        <w:rPr>
          <w:rFonts w:ascii="Georgia" w:hAnsi="Georgia"/>
          <w:sz w:val="22"/>
          <w:szCs w:val="22"/>
        </w:rPr>
        <w:t>Mario Pacelli, a lungo funzionario della Camera dei Deputati, traccia il ritratto di un uomo complesso che nella sua vita è stato amato e odiato con la stessa intensità, partendo dalla sua elezione alla segreteria del Partito socialista italiano alla conquista della presidenza del Consiglio, fino all’inchiesta di Mani Pulite e alla morte ad Hammamet, avvalendosi di testimonianze inedite che fanno luce sugli incontri segreti con Antonio Di Pietro, sul rapporto controverso con Israele, sul ruolo dello IOR nel sistema delle tangenti e sulla rottura del monopolio della DC nelle relazioni con gli Stati Uniti</w:t>
      </w:r>
      <w:r w:rsidR="004E7A44">
        <w:rPr>
          <w:rFonts w:ascii="Georgia" w:hAnsi="Georgia"/>
          <w:sz w:val="22"/>
          <w:szCs w:val="22"/>
        </w:rPr>
        <w:t>.</w:t>
      </w:r>
    </w:p>
    <w:p w:rsidR="00DC216C" w:rsidRDefault="00DC216C" w:rsidP="008C0A8F">
      <w:pPr>
        <w:jc w:val="both"/>
        <w:rPr>
          <w:rFonts w:ascii="Georgia" w:hAnsi="Georgia"/>
          <w:sz w:val="22"/>
          <w:szCs w:val="22"/>
        </w:rPr>
      </w:pPr>
    </w:p>
    <w:p w:rsidR="00AC3333" w:rsidRDefault="00AC3333" w:rsidP="00AC3333">
      <w:pPr>
        <w:jc w:val="both"/>
        <w:rPr>
          <w:rFonts w:ascii="Georgia" w:hAnsi="Georgia"/>
        </w:rPr>
      </w:pPr>
    </w:p>
    <w:p w:rsidR="00AC3333" w:rsidRDefault="00A44761" w:rsidP="00456881">
      <w:pPr>
        <w:spacing w:before="120" w:after="120"/>
        <w:ind w:left="-709"/>
        <w:jc w:val="both"/>
        <w:rPr>
          <w:rFonts w:ascii="Georgia" w:hAnsi="Georgia"/>
        </w:rPr>
      </w:pPr>
      <w:r>
        <w:rPr>
          <w:rFonts w:ascii="Georgia" w:hAnsi="Georgia"/>
          <w:i/>
          <w:iCs/>
          <w:color w:val="FF0000"/>
          <w:sz w:val="20"/>
          <w:szCs w:val="20"/>
        </w:rPr>
        <w:t>“</w:t>
      </w:r>
      <w:r w:rsidRPr="00A44761">
        <w:rPr>
          <w:rFonts w:ascii="Georgia" w:hAnsi="Georgia"/>
          <w:i/>
          <w:iCs/>
          <w:color w:val="FF0000"/>
          <w:sz w:val="20"/>
          <w:szCs w:val="20"/>
        </w:rPr>
        <w:t>In questi ultimi anni non sono mancati i tentativi da parte di alcune organizzazioni culturali (la Fondazione Craxi e la Fondazione Socialisti in particolare) di raccogliere e mettere a disposizione degli studiosi materiali per una ricostruzione storica più aderente ai fatti, tenendo conto in particolare del contesto internazionale in cui si svolsero e che forse fu addirittura prevalente su quello interno. Le pagine che seguono tentano di offrire un contributo, nei limiti del possibile, in questo senso, pur nella consapevolezza che esistono ancora molte verità conclamate ma non ancora dimostrate</w:t>
      </w:r>
      <w:r w:rsidR="00C921CF">
        <w:rPr>
          <w:rFonts w:ascii="Georgia" w:hAnsi="Georgia"/>
          <w:i/>
          <w:iCs/>
          <w:color w:val="FF0000"/>
          <w:sz w:val="20"/>
          <w:szCs w:val="20"/>
        </w:rPr>
        <w:t>.”</w:t>
      </w:r>
    </w:p>
    <w:p w:rsidR="00AC3333" w:rsidRDefault="00AC3333" w:rsidP="00AC3333">
      <w:pPr>
        <w:jc w:val="both"/>
        <w:rPr>
          <w:rFonts w:ascii="Georgia" w:hAnsi="Georgia"/>
        </w:rPr>
      </w:pPr>
    </w:p>
    <w:p w:rsidR="00AC3333" w:rsidRPr="00D51E11" w:rsidRDefault="00AC3333" w:rsidP="00AC3333">
      <w:pPr>
        <w:ind w:left="-708" w:hanging="1"/>
        <w:jc w:val="both"/>
        <w:rPr>
          <w:rFonts w:ascii="Georgia" w:hAnsi="Georgia"/>
          <w:b/>
          <w:bCs/>
          <w:sz w:val="20"/>
          <w:szCs w:val="20"/>
        </w:rPr>
      </w:pPr>
      <w:r w:rsidRPr="00D51E11">
        <w:rPr>
          <w:rFonts w:ascii="Georgia" w:hAnsi="Georgia"/>
          <w:b/>
          <w:bCs/>
          <w:sz w:val="20"/>
          <w:szCs w:val="20"/>
        </w:rPr>
        <w:t>L’autore</w:t>
      </w:r>
    </w:p>
    <w:p w:rsidR="00AC3333" w:rsidRPr="00D51E11" w:rsidRDefault="00AC3333" w:rsidP="00AC3333">
      <w:pPr>
        <w:ind w:left="-708" w:hanging="1"/>
        <w:jc w:val="both"/>
        <w:rPr>
          <w:rFonts w:ascii="Georgia" w:hAnsi="Georgia"/>
          <w:sz w:val="20"/>
          <w:szCs w:val="20"/>
        </w:rPr>
      </w:pPr>
      <w:r w:rsidRPr="00D51E11">
        <w:rPr>
          <w:rFonts w:ascii="Georgia" w:hAnsi="Georgia"/>
          <w:b/>
          <w:bCs/>
          <w:sz w:val="20"/>
          <w:szCs w:val="20"/>
        </w:rPr>
        <w:t>MARIO PACELLI</w:t>
      </w:r>
      <w:r w:rsidRPr="00D51E11">
        <w:rPr>
          <w:rFonts w:ascii="Georgia" w:hAnsi="Georgia"/>
          <w:sz w:val="20"/>
          <w:szCs w:val="20"/>
        </w:rPr>
        <w:t xml:space="preserve"> è stato a lungo funzionario della Camera dei Deputati, occupandosi tra l’altro delle Commissioni bicamerali d’inchiesta e dell’Archivio storico. Docente di diritto pubblico, è autore di numerosi saggi di storia parlamentare tra cui </w:t>
      </w:r>
      <w:r w:rsidRPr="00D51E11">
        <w:rPr>
          <w:rFonts w:ascii="Georgia" w:hAnsi="Georgia"/>
          <w:i/>
          <w:iCs/>
          <w:sz w:val="20"/>
          <w:szCs w:val="20"/>
        </w:rPr>
        <w:t>Le radici di Montecitorio</w:t>
      </w:r>
      <w:r w:rsidRPr="00D51E11">
        <w:rPr>
          <w:rFonts w:ascii="Georgia" w:hAnsi="Georgia"/>
          <w:sz w:val="20"/>
          <w:szCs w:val="20"/>
        </w:rPr>
        <w:t xml:space="preserve"> (1984), </w:t>
      </w:r>
      <w:r w:rsidRPr="00D51E11">
        <w:rPr>
          <w:rFonts w:ascii="Georgia" w:hAnsi="Georgia"/>
          <w:i/>
          <w:iCs/>
          <w:sz w:val="20"/>
          <w:szCs w:val="20"/>
        </w:rPr>
        <w:t>Bella gente</w:t>
      </w:r>
      <w:r w:rsidRPr="00D51E11">
        <w:rPr>
          <w:rFonts w:ascii="Georgia" w:hAnsi="Georgia"/>
          <w:sz w:val="20"/>
          <w:szCs w:val="20"/>
        </w:rPr>
        <w:t xml:space="preserve"> (1992</w:t>
      </w:r>
      <w:r w:rsidRPr="00D51E11">
        <w:rPr>
          <w:rFonts w:ascii="Georgia" w:hAnsi="Georgia"/>
          <w:i/>
          <w:iCs/>
          <w:sz w:val="20"/>
          <w:szCs w:val="20"/>
        </w:rPr>
        <w:t>), Interno Montecitorio</w:t>
      </w:r>
      <w:r w:rsidRPr="00D51E11">
        <w:rPr>
          <w:rFonts w:ascii="Georgia" w:hAnsi="Georgia"/>
          <w:sz w:val="20"/>
          <w:szCs w:val="20"/>
        </w:rPr>
        <w:t xml:space="preserve"> (2000), </w:t>
      </w:r>
      <w:r w:rsidRPr="00D51E11">
        <w:rPr>
          <w:rFonts w:ascii="Georgia" w:hAnsi="Georgia"/>
          <w:i/>
          <w:iCs/>
          <w:sz w:val="20"/>
          <w:szCs w:val="20"/>
        </w:rPr>
        <w:t>Cattivi esempi</w:t>
      </w:r>
      <w:r w:rsidRPr="00D51E11">
        <w:rPr>
          <w:rFonts w:ascii="Georgia" w:hAnsi="Georgia"/>
          <w:sz w:val="20"/>
          <w:szCs w:val="20"/>
        </w:rPr>
        <w:t xml:space="preserve"> (2001), </w:t>
      </w:r>
      <w:r w:rsidRPr="00D51E11">
        <w:rPr>
          <w:rFonts w:ascii="Georgia" w:hAnsi="Georgia"/>
          <w:i/>
          <w:iCs/>
          <w:sz w:val="20"/>
          <w:szCs w:val="20"/>
        </w:rPr>
        <w:t>Il Colle più alto</w:t>
      </w:r>
      <w:r w:rsidRPr="00D51E11">
        <w:rPr>
          <w:rFonts w:ascii="Georgia" w:hAnsi="Georgia"/>
          <w:sz w:val="20"/>
          <w:szCs w:val="20"/>
        </w:rPr>
        <w:t xml:space="preserve"> con Giorgio Giovannetti (2018). Per </w:t>
      </w:r>
      <w:proofErr w:type="spellStart"/>
      <w:r w:rsidRPr="00D51E11">
        <w:rPr>
          <w:rFonts w:ascii="Georgia" w:hAnsi="Georgia"/>
          <w:sz w:val="20"/>
          <w:szCs w:val="20"/>
        </w:rPr>
        <w:t>Graphofeel</w:t>
      </w:r>
      <w:proofErr w:type="spellEnd"/>
      <w:r w:rsidRPr="00D51E11">
        <w:rPr>
          <w:rFonts w:ascii="Georgia" w:hAnsi="Georgia"/>
          <w:sz w:val="20"/>
          <w:szCs w:val="20"/>
        </w:rPr>
        <w:t xml:space="preserve"> ha pubblicato </w:t>
      </w:r>
      <w:r w:rsidRPr="00D51E11">
        <w:rPr>
          <w:rFonts w:ascii="Georgia" w:hAnsi="Georgia"/>
          <w:i/>
          <w:iCs/>
          <w:sz w:val="20"/>
          <w:szCs w:val="20"/>
        </w:rPr>
        <w:t>Cantiere Italia</w:t>
      </w:r>
      <w:r w:rsidRPr="00D51E11">
        <w:rPr>
          <w:rFonts w:ascii="Georgia" w:hAnsi="Georgia"/>
          <w:sz w:val="20"/>
          <w:szCs w:val="20"/>
        </w:rPr>
        <w:t xml:space="preserve"> (2011), </w:t>
      </w:r>
      <w:r w:rsidRPr="00D51E11">
        <w:rPr>
          <w:rFonts w:ascii="Georgia" w:hAnsi="Georgia"/>
          <w:i/>
          <w:iCs/>
          <w:sz w:val="20"/>
          <w:szCs w:val="20"/>
        </w:rPr>
        <w:t>Dossier Andreotti</w:t>
      </w:r>
      <w:r w:rsidRPr="00D51E11">
        <w:rPr>
          <w:rFonts w:ascii="Georgia" w:hAnsi="Georgia"/>
          <w:sz w:val="20"/>
          <w:szCs w:val="20"/>
        </w:rPr>
        <w:t xml:space="preserve"> (2013), </w:t>
      </w:r>
      <w:r w:rsidRPr="00D51E11">
        <w:rPr>
          <w:rFonts w:ascii="Georgia" w:hAnsi="Georgia"/>
          <w:i/>
          <w:iCs/>
          <w:sz w:val="20"/>
          <w:szCs w:val="20"/>
        </w:rPr>
        <w:t>Gianni Caproni</w:t>
      </w:r>
      <w:r w:rsidRPr="00D51E11">
        <w:rPr>
          <w:rFonts w:ascii="Georgia" w:hAnsi="Georgia"/>
          <w:sz w:val="20"/>
          <w:szCs w:val="20"/>
        </w:rPr>
        <w:t xml:space="preserve"> (2014) e </w:t>
      </w:r>
      <w:r w:rsidRPr="00D51E11">
        <w:rPr>
          <w:rFonts w:ascii="Georgia" w:hAnsi="Georgia"/>
          <w:i/>
          <w:iCs/>
          <w:sz w:val="20"/>
          <w:szCs w:val="20"/>
        </w:rPr>
        <w:t>Non mi piacciono i film di Anna Magnani</w:t>
      </w:r>
      <w:r w:rsidRPr="00D51E11">
        <w:rPr>
          <w:rFonts w:ascii="Georgia" w:hAnsi="Georgia"/>
          <w:sz w:val="20"/>
          <w:szCs w:val="20"/>
        </w:rPr>
        <w:t xml:space="preserve"> (2019).</w:t>
      </w:r>
    </w:p>
    <w:sectPr w:rsidR="00AC3333" w:rsidRPr="00D51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C89"/>
    <w:rsid w:val="00402ACF"/>
    <w:rsid w:val="00456881"/>
    <w:rsid w:val="004E7A44"/>
    <w:rsid w:val="006C7C89"/>
    <w:rsid w:val="007B6E9A"/>
    <w:rsid w:val="00804EED"/>
    <w:rsid w:val="008C0A8F"/>
    <w:rsid w:val="00966132"/>
    <w:rsid w:val="00A44761"/>
    <w:rsid w:val="00AC3333"/>
    <w:rsid w:val="00C61748"/>
    <w:rsid w:val="00C658A8"/>
    <w:rsid w:val="00C921CF"/>
    <w:rsid w:val="00D350BB"/>
    <w:rsid w:val="00D51E11"/>
    <w:rsid w:val="00DC216C"/>
    <w:rsid w:val="00F1430C"/>
    <w:rsid w:val="00FB6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00AB"/>
  <w15:docId w15:val="{9FDC09A4-50A0-4820-ACC7-63557D07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C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338</Words>
  <Characters>1930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Edizioni Piemme</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Lang</dc:creator>
  <cp:lastModifiedBy>Matilde Cirini</cp:lastModifiedBy>
  <cp:revision>15</cp:revision>
  <dcterms:created xsi:type="dcterms:W3CDTF">2019-07-08T09:07:00Z</dcterms:created>
  <dcterms:modified xsi:type="dcterms:W3CDTF">2020-01-14T14:22:00Z</dcterms:modified>
</cp:coreProperties>
</file>